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963D0" w14:textId="77777777" w:rsidR="00AA29A4" w:rsidRPr="00AA29A4" w:rsidRDefault="00AA29A4" w:rsidP="002F40E5">
      <w:pPr>
        <w:spacing w:line="340" w:lineRule="exact"/>
        <w:rPr>
          <w:rFonts w:ascii="ＭＳ ゴシック" w:eastAsia="ＭＳ ゴシック" w:hAnsi="ＭＳ ゴシック" w:hint="eastAsia"/>
          <w:sz w:val="22"/>
          <w:szCs w:val="22"/>
        </w:rPr>
      </w:pPr>
      <w:r>
        <w:rPr>
          <w:rFonts w:ascii="ＭＳ ゴシック" w:eastAsia="ＭＳ ゴシック" w:hAnsi="ＭＳ ゴシック" w:hint="eastAsia"/>
          <w:sz w:val="28"/>
          <w:szCs w:val="28"/>
        </w:rPr>
        <w:t xml:space="preserve">　　　　　　　　　　　　　　　　　　</w:t>
      </w:r>
      <w:r w:rsidRPr="00AA29A4">
        <w:rPr>
          <w:rFonts w:ascii="ＭＳ ゴシック" w:eastAsia="ＭＳ ゴシック" w:hAnsi="ＭＳ ゴシック" w:hint="eastAsia"/>
          <w:sz w:val="22"/>
          <w:szCs w:val="22"/>
        </w:rPr>
        <w:t>（2014.2.1　松塾配布</w:t>
      </w:r>
      <w:r>
        <w:rPr>
          <w:rFonts w:ascii="ＭＳ ゴシック" w:eastAsia="ＭＳ ゴシック" w:hAnsi="ＭＳ ゴシック"/>
          <w:sz w:val="22"/>
          <w:szCs w:val="22"/>
        </w:rPr>
        <w:t xml:space="preserve"> </w:t>
      </w:r>
      <w:r>
        <w:rPr>
          <w:rFonts w:ascii="ＭＳ ゴシック" w:eastAsia="ＭＳ ゴシック" w:hAnsi="ＭＳ ゴシック" w:hint="eastAsia"/>
          <w:sz w:val="22"/>
          <w:szCs w:val="22"/>
        </w:rPr>
        <w:t>松田博公</w:t>
      </w:r>
      <w:r w:rsidRPr="00AA29A4">
        <w:rPr>
          <w:rFonts w:ascii="ＭＳ ゴシック" w:eastAsia="ＭＳ ゴシック" w:hAnsi="ＭＳ ゴシック" w:hint="eastAsia"/>
          <w:sz w:val="22"/>
          <w:szCs w:val="22"/>
        </w:rPr>
        <w:t>）</w:t>
      </w:r>
    </w:p>
    <w:p w14:paraId="31A70C4A" w14:textId="77777777" w:rsidR="00AA29A4" w:rsidRDefault="00AA29A4" w:rsidP="002F40E5">
      <w:pPr>
        <w:spacing w:line="340" w:lineRule="exact"/>
        <w:rPr>
          <w:rFonts w:ascii="ＭＳ ゴシック" w:eastAsia="ＭＳ ゴシック" w:hAnsi="ＭＳ ゴシック" w:hint="eastAsia"/>
          <w:sz w:val="28"/>
          <w:szCs w:val="28"/>
        </w:rPr>
      </w:pPr>
    </w:p>
    <w:p w14:paraId="708F31AC" w14:textId="77777777" w:rsidR="002F40E5" w:rsidRPr="00FC58A0" w:rsidRDefault="002F40E5" w:rsidP="002F40E5">
      <w:pPr>
        <w:spacing w:line="340" w:lineRule="exact"/>
        <w:rPr>
          <w:rFonts w:ascii="ＭＳ ゴシック" w:eastAsia="ＭＳ ゴシック" w:hAnsi="ＭＳ ゴシック"/>
          <w:sz w:val="28"/>
          <w:szCs w:val="28"/>
        </w:rPr>
      </w:pPr>
      <w:bookmarkStart w:id="0" w:name="_GoBack"/>
      <w:r w:rsidRPr="00FC58A0">
        <w:rPr>
          <w:rFonts w:ascii="ＭＳ ゴシック" w:eastAsia="ＭＳ ゴシック" w:hAnsi="ＭＳ ゴシック" w:hint="eastAsia"/>
          <w:sz w:val="28"/>
          <w:szCs w:val="28"/>
        </w:rPr>
        <w:t>Ⅳ．西洋でも古代・中世の医学は宇宙論的医学だった</w:t>
      </w:r>
      <w:bookmarkEnd w:id="0"/>
    </w:p>
    <w:p w14:paraId="40717591" w14:textId="77777777" w:rsidR="002F40E5" w:rsidRDefault="002F40E5" w:rsidP="002F40E5">
      <w:pPr>
        <w:spacing w:line="340" w:lineRule="exact"/>
        <w:rPr>
          <w:rFonts w:hint="eastAsia"/>
        </w:rPr>
      </w:pPr>
    </w:p>
    <w:p w14:paraId="5BB80CAC" w14:textId="77777777" w:rsidR="002F40E5" w:rsidRDefault="002F40E5" w:rsidP="002F40E5">
      <w:pPr>
        <w:spacing w:line="340" w:lineRule="exact"/>
      </w:pPr>
      <w:r>
        <w:rPr>
          <w:rFonts w:hint="eastAsia"/>
        </w:rPr>
        <w:t xml:space="preserve">　大自然の中に小さな村落を作って生きていた原始時代、人々は宇宙と人間との繋がりを信じ、天体の運行や四季の移ろい、突然の天災などから知恵や啓示を得て生きていた。周りは圧倒的な自然だったから当然である。『黄帝内経』に貫かれている天人合一思想は、そのような原始的感覚を継承している。</w:t>
      </w:r>
    </w:p>
    <w:p w14:paraId="3ECB09E3" w14:textId="77777777" w:rsidR="002F40E5" w:rsidRDefault="002F40E5" w:rsidP="002F40E5">
      <w:pPr>
        <w:spacing w:line="340" w:lineRule="exact"/>
      </w:pPr>
    </w:p>
    <w:p w14:paraId="0E47166B" w14:textId="77777777" w:rsidR="002F40E5" w:rsidRDefault="002F40E5" w:rsidP="002F40E5">
      <w:pPr>
        <w:spacing w:line="340" w:lineRule="exact"/>
      </w:pPr>
      <w:r>
        <w:rPr>
          <w:rFonts w:hint="eastAsia"/>
        </w:rPr>
        <w:t xml:space="preserve">　同様に、古代ギリシャやローマ帝国の哲学、医学も、同じ原始的感覚を引き継ぎながら洗練させ、</w:t>
      </w:r>
      <w:r w:rsidRPr="00FA3E78">
        <w:rPr>
          <w:rFonts w:ascii="ＭＳ ゴシック" w:eastAsia="ＭＳ ゴシック" w:hAnsi="ＭＳ ゴシック" w:hint="eastAsia"/>
        </w:rPr>
        <w:t>マクロコスモス（大宇宙）とミクロコスモス（人体という小宇宙）は関連している</w:t>
      </w:r>
      <w:r>
        <w:rPr>
          <w:rFonts w:hint="eastAsia"/>
        </w:rPr>
        <w:t>という言い方をしていた。　古代ギリシャ医学の体液説は宇宙論的なものだった。</w:t>
      </w:r>
    </w:p>
    <w:p w14:paraId="5833CF40" w14:textId="77777777" w:rsidR="002F40E5" w:rsidRDefault="002F40E5" w:rsidP="002F40E5">
      <w:pPr>
        <w:spacing w:line="340" w:lineRule="exact"/>
      </w:pPr>
      <w:r>
        <w:rPr>
          <w:noProof/>
        </w:rPr>
        <w:drawing>
          <wp:anchor distT="0" distB="0" distL="114300" distR="114300" simplePos="0" relativeHeight="251661312" behindDoc="0" locked="0" layoutInCell="1" allowOverlap="1" wp14:anchorId="2DAE7587" wp14:editId="18DF8B05">
            <wp:simplePos x="0" y="0"/>
            <wp:positionH relativeFrom="column">
              <wp:posOffset>114300</wp:posOffset>
            </wp:positionH>
            <wp:positionV relativeFrom="paragraph">
              <wp:posOffset>977900</wp:posOffset>
            </wp:positionV>
            <wp:extent cx="4000500" cy="3098800"/>
            <wp:effectExtent l="0" t="0" r="12700" b="0"/>
            <wp:wrapSquare wrapText="bothSides"/>
            <wp:docPr id="16" name="図 16" descr="スクリーンショット（2013-01-2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スクリーンショット（2013-01-23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まずエンペドクレス（</w:t>
      </w:r>
      <w:r>
        <w:rPr>
          <w:rFonts w:ascii="Arial" w:hAnsi="Arial" w:cs="Arial"/>
          <w:color w:val="1A1A1A"/>
          <w:kern w:val="0"/>
          <w:sz w:val="26"/>
          <w:szCs w:val="26"/>
        </w:rPr>
        <w:t>紀元</w:t>
      </w:r>
      <w:r w:rsidRPr="00E77E57">
        <w:rPr>
          <w:rFonts w:ascii="ＭＳ 明朝" w:hAnsi="ＭＳ 明朝" w:cs="Arial"/>
          <w:color w:val="1A1A1A"/>
          <w:kern w:val="0"/>
          <w:sz w:val="26"/>
          <w:szCs w:val="26"/>
        </w:rPr>
        <w:t>前490年</w:t>
      </w:r>
      <w:r w:rsidRPr="00E77E57">
        <w:rPr>
          <w:rFonts w:ascii="ＭＳ 明朝" w:hAnsi="ＭＳ 明朝" w:cs="Arial" w:hint="eastAsia"/>
          <w:color w:val="1A1A1A"/>
          <w:kern w:val="0"/>
          <w:sz w:val="26"/>
          <w:szCs w:val="26"/>
        </w:rPr>
        <w:t>ごろ〜</w:t>
      </w:r>
      <w:r w:rsidRPr="00E77E57">
        <w:rPr>
          <w:rFonts w:ascii="ＭＳ 明朝" w:hAnsi="ＭＳ 明朝" w:cs="Arial"/>
          <w:color w:val="1A1A1A"/>
          <w:kern w:val="0"/>
          <w:sz w:val="26"/>
          <w:szCs w:val="26"/>
        </w:rPr>
        <w:t>紀元前430年</w:t>
      </w:r>
      <w:r w:rsidRPr="00E77E57">
        <w:rPr>
          <w:rFonts w:ascii="ＭＳ 明朝" w:hAnsi="ＭＳ 明朝" w:cs="Arial" w:hint="eastAsia"/>
          <w:color w:val="1A1A1A"/>
          <w:kern w:val="0"/>
          <w:sz w:val="26"/>
          <w:szCs w:val="26"/>
        </w:rPr>
        <w:t>ご</w:t>
      </w:r>
      <w:r>
        <w:rPr>
          <w:rFonts w:ascii="Arial" w:hAnsi="Arial" w:cs="Arial" w:hint="eastAsia"/>
          <w:color w:val="1A1A1A"/>
          <w:kern w:val="0"/>
          <w:sz w:val="26"/>
          <w:szCs w:val="26"/>
        </w:rPr>
        <w:t>ろ</w:t>
      </w:r>
      <w:r>
        <w:rPr>
          <w:rFonts w:ascii="Arial" w:hAnsi="Arial" w:cs="Arial"/>
          <w:color w:val="1A1A1A"/>
          <w:kern w:val="0"/>
          <w:sz w:val="26"/>
          <w:szCs w:val="26"/>
        </w:rPr>
        <w:t>）</w:t>
      </w:r>
      <w:r>
        <w:rPr>
          <w:rFonts w:hint="eastAsia"/>
        </w:rPr>
        <w:t>が、</w:t>
      </w:r>
      <w:r w:rsidRPr="00FA3E78">
        <w:rPr>
          <w:rFonts w:ascii="ＭＳ ゴシック" w:eastAsia="ＭＳ ゴシック" w:hAnsi="ＭＳ ゴシック" w:hint="eastAsia"/>
        </w:rPr>
        <w:t>宇宙は土、水、空</w:t>
      </w:r>
      <w:r w:rsidRPr="00FA3E78">
        <w:rPr>
          <w:rFonts w:ascii="ＭＳ ゴシック" w:eastAsia="ＭＳ ゴシック" w:hAnsi="ＭＳ ゴシック"/>
        </w:rPr>
        <w:t>気</w:t>
      </w:r>
      <w:r>
        <w:rPr>
          <w:rFonts w:ascii="ＭＳ ゴシック" w:eastAsia="ＭＳ ゴシック" w:hAnsi="ＭＳ ゴシック" w:hint="eastAsia"/>
        </w:rPr>
        <w:t>、火の４元素から成り、さらに、この世のすべてのものはそのうち２</w:t>
      </w:r>
      <w:r w:rsidRPr="00FA3E78">
        <w:rPr>
          <w:rFonts w:ascii="ＭＳ ゴシック" w:eastAsia="ＭＳ ゴシック" w:hAnsi="ＭＳ ゴシック" w:hint="eastAsia"/>
        </w:rPr>
        <w:t>元素の組み合わせでできる温（熱）、冷（寒）、乾、湿の４つの性質に分類される</w:t>
      </w:r>
      <w:r>
        <w:rPr>
          <w:rFonts w:hint="eastAsia"/>
        </w:rPr>
        <w:t>と考えた。</w:t>
      </w:r>
      <w:r w:rsidRPr="002F61FD">
        <w:rPr>
          <w:rFonts w:asciiTheme="majorEastAsia" w:eastAsiaTheme="majorEastAsia" w:hAnsiTheme="majorEastAsia" w:hint="eastAsia"/>
        </w:rPr>
        <w:t>温</w:t>
      </w:r>
      <w:r>
        <w:rPr>
          <w:rFonts w:hint="eastAsia"/>
        </w:rPr>
        <w:t>は火と空</w:t>
      </w:r>
      <w:r>
        <w:t>気</w:t>
      </w:r>
      <w:r>
        <w:rPr>
          <w:rFonts w:hint="eastAsia"/>
        </w:rPr>
        <w:t>、</w:t>
      </w:r>
      <w:r w:rsidRPr="002F61FD">
        <w:rPr>
          <w:rFonts w:asciiTheme="majorEastAsia" w:eastAsiaTheme="majorEastAsia" w:hAnsiTheme="majorEastAsia" w:hint="eastAsia"/>
        </w:rPr>
        <w:t>冷</w:t>
      </w:r>
      <w:r>
        <w:rPr>
          <w:rFonts w:hint="eastAsia"/>
        </w:rPr>
        <w:t>は水と土、</w:t>
      </w:r>
      <w:r w:rsidRPr="002F61FD">
        <w:rPr>
          <w:rFonts w:asciiTheme="majorEastAsia" w:eastAsiaTheme="majorEastAsia" w:hAnsiTheme="majorEastAsia" w:hint="eastAsia"/>
        </w:rPr>
        <w:t>乾</w:t>
      </w:r>
      <w:r>
        <w:rPr>
          <w:rFonts w:hint="eastAsia"/>
        </w:rPr>
        <w:t>は土と火、そして</w:t>
      </w:r>
      <w:r w:rsidRPr="002F61FD">
        <w:rPr>
          <w:rFonts w:asciiTheme="majorEastAsia" w:eastAsiaTheme="majorEastAsia" w:hAnsiTheme="majorEastAsia" w:hint="eastAsia"/>
        </w:rPr>
        <w:t>湿</w:t>
      </w:r>
      <w:r>
        <w:rPr>
          <w:rFonts w:hint="eastAsia"/>
        </w:rPr>
        <w:t>は空</w:t>
      </w:r>
      <w:r>
        <w:t>気</w:t>
      </w:r>
      <w:r>
        <w:rPr>
          <w:rFonts w:hint="eastAsia"/>
        </w:rPr>
        <w:t>と水から成り、配分の度合いで強弱の性質があるのである。こうして、４元素の組み合わせと配分の度合いから、万有の固有の特質や</w:t>
      </w:r>
      <w:r>
        <w:t>気</w:t>
      </w:r>
      <w:r>
        <w:rPr>
          <w:rFonts w:hint="eastAsia"/>
        </w:rPr>
        <w:t>質を説明したのである。</w:t>
      </w:r>
    </w:p>
    <w:p w14:paraId="56A2B5EC" w14:textId="77777777" w:rsidR="002F40E5" w:rsidRDefault="002F40E5" w:rsidP="002F40E5">
      <w:pPr>
        <w:spacing w:line="340" w:lineRule="exact"/>
      </w:pPr>
      <w:r>
        <w:rPr>
          <w:rFonts w:hint="eastAsia"/>
        </w:rPr>
        <w:t xml:space="preserve">　ヒポクラテス派はこの理論を応用し、</w:t>
      </w:r>
      <w:r w:rsidRPr="00FA3E78">
        <w:rPr>
          <w:rFonts w:ascii="ＭＳ ゴシック" w:eastAsia="ＭＳ ゴシック" w:hAnsi="ＭＳ ゴシック" w:hint="eastAsia"/>
        </w:rPr>
        <w:t>空</w:t>
      </w:r>
      <w:r w:rsidRPr="00FA3E78">
        <w:rPr>
          <w:rFonts w:ascii="ＭＳ ゴシック" w:eastAsia="ＭＳ ゴシック" w:hAnsi="ＭＳ ゴシック"/>
        </w:rPr>
        <w:t>気</w:t>
      </w:r>
      <w:r w:rsidRPr="00FA3E78">
        <w:rPr>
          <w:rFonts w:ascii="ＭＳ ゴシック" w:eastAsia="ＭＳ ゴシック" w:hAnsi="ＭＳ ゴシック" w:hint="eastAsia"/>
        </w:rPr>
        <w:t>、火、水、土の４元素を血液、胆汁、粘液、黒胆汁の４体液に対応させた。また、人間の</w:t>
      </w:r>
      <w:r w:rsidRPr="00FA3E78">
        <w:rPr>
          <w:rFonts w:ascii="ＭＳ ゴシック" w:eastAsia="ＭＳ ゴシック" w:hAnsi="ＭＳ ゴシック"/>
        </w:rPr>
        <w:t>気</w:t>
      </w:r>
      <w:r w:rsidRPr="00FA3E78">
        <w:rPr>
          <w:rFonts w:ascii="ＭＳ ゴシック" w:eastAsia="ＭＳ ゴシック" w:hAnsi="ＭＳ ゴシック" w:hint="eastAsia"/>
        </w:rPr>
        <w:t>質はどの体液が支配しているかによって、多血質、胆汁質、粘液質、黒胆汁質の４つに分類されると考えた。</w:t>
      </w:r>
      <w:r>
        <w:rPr>
          <w:rFonts w:hint="eastAsia"/>
        </w:rPr>
        <w:t>多血質は温と湿の組み合わせ、胆汁質は温と乾、粘液質は冷と湿で、黒胆汁質は冷と乾の組み合わせとなる。</w:t>
      </w:r>
    </w:p>
    <w:p w14:paraId="3B29F940" w14:textId="77777777" w:rsidR="002F40E5" w:rsidRPr="006F42F3" w:rsidRDefault="002F40E5" w:rsidP="002F40E5">
      <w:pPr>
        <w:spacing w:line="340" w:lineRule="exact"/>
        <w:rPr>
          <w:sz w:val="22"/>
          <w:szCs w:val="22"/>
        </w:rPr>
      </w:pPr>
      <w:r>
        <w:rPr>
          <w:rFonts w:hint="eastAsia"/>
        </w:rPr>
        <w:t xml:space="preserve">　さらに、</w:t>
      </w:r>
      <w:r w:rsidRPr="00FA3E78">
        <w:rPr>
          <w:rFonts w:ascii="ＭＳ ゴシック" w:eastAsia="ＭＳ ゴシック" w:hAnsi="ＭＳ ゴシック" w:hint="eastAsia"/>
        </w:rPr>
        <w:t>４元素は体液や</w:t>
      </w:r>
      <w:r w:rsidRPr="00FA3E78">
        <w:rPr>
          <w:rFonts w:ascii="ＭＳ ゴシック" w:eastAsia="ＭＳ ゴシック" w:hAnsi="ＭＳ ゴシック"/>
        </w:rPr>
        <w:t>気</w:t>
      </w:r>
      <w:r w:rsidRPr="00FA3E78">
        <w:rPr>
          <w:rFonts w:ascii="ＭＳ ゴシック" w:eastAsia="ＭＳ ゴシック" w:hAnsi="ＭＳ ゴシック" w:hint="eastAsia"/>
        </w:rPr>
        <w:t>質だけでなく、年齢、季節、惑星とも対応している。天体を構成する惑星も４元素からできていて、その存在の仕方と運行の位</w:t>
      </w:r>
      <w:r w:rsidRPr="00FA3E78">
        <w:rPr>
          <w:rFonts w:ascii="ＭＳ ゴシック" w:eastAsia="ＭＳ ゴシック" w:hAnsi="ＭＳ ゴシック" w:hint="eastAsia"/>
        </w:rPr>
        <w:lastRenderedPageBreak/>
        <w:t>置は、ひとの諸器官や体液バランスに影響する</w:t>
      </w:r>
      <w:r>
        <w:rPr>
          <w:rFonts w:hint="eastAsia"/>
        </w:rPr>
        <w:t>と考えた。（その考え方から、中世には瀉血治療と結び付いた占星術医学が生み出された。）こうした発想は、中国医学の五行の色体観、寒熱燥湿の病因論と類似している。</w:t>
      </w:r>
      <w:r w:rsidRPr="006F42F3">
        <w:rPr>
          <w:rFonts w:hint="eastAsia"/>
          <w:sz w:val="22"/>
          <w:szCs w:val="22"/>
        </w:rPr>
        <w:t>（図は、</w:t>
      </w:r>
      <w:r w:rsidRPr="006F42F3">
        <w:rPr>
          <w:rFonts w:ascii="ＭＳ 明朝" w:hAnsi="ＭＳ 明朝" w:cs="MS-Mincho" w:hint="eastAsia"/>
          <w:kern w:val="0"/>
          <w:sz w:val="22"/>
          <w:szCs w:val="22"/>
        </w:rPr>
        <w:t>牛之濱久代ほか「ヒルデガルト・フォン・ビンゲンの医療活動について−ヒルデガルトのホリスティックアプローチの今日的意義」</w:t>
      </w:r>
      <w:r>
        <w:rPr>
          <w:rFonts w:ascii="ＭＳ 明朝" w:hAnsi="ＭＳ 明朝" w:cs="MS-Mincho" w:hint="eastAsia"/>
          <w:kern w:val="0"/>
          <w:sz w:val="22"/>
          <w:szCs w:val="22"/>
        </w:rPr>
        <w:t>山口県立大学看護学部紀要第7号、2003年から引用</w:t>
      </w:r>
      <w:r w:rsidRPr="006F42F3">
        <w:rPr>
          <w:rFonts w:hint="eastAsia"/>
          <w:sz w:val="22"/>
          <w:szCs w:val="22"/>
        </w:rPr>
        <w:t>）</w:t>
      </w:r>
    </w:p>
    <w:p w14:paraId="544BCFE9" w14:textId="77777777" w:rsidR="002F40E5" w:rsidRDefault="002F40E5" w:rsidP="002F40E5">
      <w:pPr>
        <w:spacing w:line="340" w:lineRule="exact"/>
      </w:pPr>
    </w:p>
    <w:p w14:paraId="7B73F84E" w14:textId="77777777" w:rsidR="002F40E5" w:rsidRDefault="002F40E5" w:rsidP="002F40E5">
      <w:pPr>
        <w:spacing w:line="340" w:lineRule="exact"/>
      </w:pPr>
      <w:r>
        <w:rPr>
          <w:rFonts w:hint="eastAsia"/>
        </w:rPr>
        <w:t xml:space="preserve">　このようにして、健康とは宇宙全体と呼応する体液のバランスがとれていることであり、病</w:t>
      </w:r>
      <w:r>
        <w:t>気</w:t>
      </w:r>
      <w:r>
        <w:rPr>
          <w:rFonts w:hint="eastAsia"/>
        </w:rPr>
        <w:t>とはそれがアンバランスになったのだから、治療とはアンバランスを回復することであるという、中国古代医学と同じ類型の医学が誕生したのである。この医学は、ローマ時代にガレノス（</w:t>
      </w:r>
      <w:r>
        <w:t>129</w:t>
      </w:r>
      <w:r>
        <w:rPr>
          <w:rFonts w:hint="eastAsia"/>
        </w:rPr>
        <w:t>年ごろ〜</w:t>
      </w:r>
      <w:r>
        <w:t>200</w:t>
      </w:r>
      <w:r>
        <w:rPr>
          <w:rFonts w:hint="eastAsia"/>
        </w:rPr>
        <w:t>年ごろ）が踏襲して体系化し、中世のキリスト教世界に受け入れられていく。</w:t>
      </w:r>
    </w:p>
    <w:p w14:paraId="2B09C04C" w14:textId="77777777" w:rsidR="002F40E5" w:rsidRDefault="002F40E5" w:rsidP="002F40E5">
      <w:pPr>
        <w:spacing w:line="320" w:lineRule="exact"/>
      </w:pPr>
      <w:r>
        <w:rPr>
          <w:noProof/>
        </w:rPr>
        <w:drawing>
          <wp:anchor distT="0" distB="0" distL="114300" distR="114300" simplePos="0" relativeHeight="251663360" behindDoc="0" locked="0" layoutInCell="1" allowOverlap="1" wp14:anchorId="52E50386" wp14:editId="36C51B2D">
            <wp:simplePos x="0" y="0"/>
            <wp:positionH relativeFrom="column">
              <wp:posOffset>0</wp:posOffset>
            </wp:positionH>
            <wp:positionV relativeFrom="paragraph">
              <wp:posOffset>88900</wp:posOffset>
            </wp:positionV>
            <wp:extent cx="2642235" cy="1651000"/>
            <wp:effectExtent l="0" t="0" r="0" b="0"/>
            <wp:wrapSquare wrapText="bothSides"/>
            <wp:docPr id="6" name="図 6"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223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2B04B9D" wp14:editId="00519DB5">
            <wp:simplePos x="0" y="0"/>
            <wp:positionH relativeFrom="margin">
              <wp:posOffset>0</wp:posOffset>
            </wp:positionH>
            <wp:positionV relativeFrom="margin">
              <wp:posOffset>4826000</wp:posOffset>
            </wp:positionV>
            <wp:extent cx="2530475" cy="3505200"/>
            <wp:effectExtent l="0" t="0" r="9525" b="0"/>
            <wp:wrapSquare wrapText="bothSides"/>
            <wp:docPr id="17" name="図 17" descr="Hildegard_von_Bingen_Liber_Divinorum_Op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ldegard_von_Bingen_Liber_Divinorum_Oper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047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中世のキリスト教は、アダムとイヴが神に背いて楽園を追放されたので、人間は原罪を背負い、病苦、貧困、死すべき運命を与えられたと説いた。教会でのミサを通して神に祈りを捧げ、懺悔することが薬になると考える祈りと瞑想の文化であったが、キリスト教の思想に適合する限りは、キリスト教以前の古代医学を受け入れた。『神の業の書』や『病因と治療』『自然学』などの著作をまとめたドイツの修道院長で神秘家ビンゲンのヒルデガルト（ユリウス暦</w:t>
      </w:r>
      <w:r>
        <w:t>1098</w:t>
      </w:r>
      <w:r>
        <w:rPr>
          <w:rFonts w:hint="eastAsia"/>
        </w:rPr>
        <w:t>年〜ユリウス暦</w:t>
      </w:r>
      <w:r>
        <w:t>1179</w:t>
      </w:r>
      <w:r>
        <w:rPr>
          <w:rFonts w:hint="eastAsia"/>
        </w:rPr>
        <w:t>年</w:t>
      </w:r>
      <w:r>
        <w:t>9</w:t>
      </w:r>
      <w:r>
        <w:rPr>
          <w:rFonts w:hint="eastAsia"/>
        </w:rPr>
        <w:t>月</w:t>
      </w:r>
      <w:r>
        <w:t>17</w:t>
      </w:r>
      <w:r>
        <w:rPr>
          <w:rFonts w:hint="eastAsia"/>
        </w:rPr>
        <w:t>日）は、マクロコスモス、ミクロコスモスの対応を唱える古代ギリシャのプラトニズムとともに４体液説を継承し、人間の身体は宇宙と同じく水、空</w:t>
      </w:r>
      <w:r>
        <w:t>気</w:t>
      </w:r>
      <w:r>
        <w:rPr>
          <w:rFonts w:hint="eastAsia"/>
        </w:rPr>
        <w:t>、火、土から成り、人間は宇宙のはたらきと同じようにはたらくと説明した。宗教的な悪魔払いに加えて薬草治療、瀉血、灸、食事療法、アロマセラピーなどを行った。中世唯一の女性作曲家でもあり、神の世界を讃える彼女の楽譜は復原されて、現在も演奏され、</w:t>
      </w:r>
      <w:r>
        <w:rPr>
          <w:rFonts w:hint="eastAsia"/>
        </w:rPr>
        <w:t>CD</w:t>
      </w:r>
      <w:r>
        <w:rPr>
          <w:rFonts w:hint="eastAsia"/>
        </w:rPr>
        <w:t>も出ている。音楽療法も含めたホリスッティック医学の祖とされている。</w:t>
      </w:r>
    </w:p>
    <w:p w14:paraId="3022F61B" w14:textId="77777777" w:rsidR="002F40E5" w:rsidRDefault="002F40E5" w:rsidP="002F40E5">
      <w:pPr>
        <w:spacing w:line="320" w:lineRule="exact"/>
      </w:pPr>
      <w:r>
        <w:rPr>
          <w:rFonts w:hint="eastAsia"/>
        </w:rPr>
        <w:t xml:space="preserve">　ヒルデガルトは神の世界を見る「幻視」をしばしば体験し、そこで得たビジョンを描いている。その中には「コスモス人間」と呼ばれる図像があり、円をなす宇宙（マクロコスモス）の中心に両手を広げた人間（ミクロコスモス）が立っている。被造物としての人間と全生命を宇宙全体のなかに位置づける、ホリスティックな宇宙観、人間観、生命観、医療観が表現されている。「ヨーロッパ中世における薬治療において、動植物や鉱石など神が創造した自然界に存在するすべてのものに治癒力が潜んでいるという考え方があるのはこのような背景による」（久木田直江「天上の薬と世俗の薬――中世ヨーロッパの医療」）。</w:t>
      </w:r>
    </w:p>
    <w:p w14:paraId="4848431F" w14:textId="77777777" w:rsidR="002F40E5" w:rsidRDefault="002F40E5" w:rsidP="002F40E5">
      <w:pPr>
        <w:spacing w:line="340" w:lineRule="exact"/>
      </w:pPr>
      <w:r>
        <w:rPr>
          <w:rFonts w:hint="eastAsia"/>
        </w:rPr>
        <w:t xml:space="preserve">　ヒルデガルトは、全ての植物を熱／冷、乾／湿に分類し、それに基づいて薬草の処方や食事のレシピを作ったが、それには、４体液説のキリスト教的解釈が根拠となっている。アダムとエヴァは楽園で完璧な体液のバランスを保っていたが、神に背いたときに体液のバランスは崩れた。キリストは完璧な体液バランスを保っているが、原罪を背負った人間の体液バランスは崩れている。ギリシャ医学に由来する体液バランスを維持するための食事や養生法は、教会が求める宗教的な禁欲生活とも調和していた。</w:t>
      </w:r>
    </w:p>
    <w:p w14:paraId="1743E9E2" w14:textId="77777777" w:rsidR="002F40E5" w:rsidRDefault="002F40E5" w:rsidP="002F40E5">
      <w:pPr>
        <w:spacing w:line="340" w:lineRule="exact"/>
      </w:pPr>
    </w:p>
    <w:p w14:paraId="237052FA" w14:textId="77777777" w:rsidR="002F40E5" w:rsidRPr="00FC58A0" w:rsidRDefault="002F40E5" w:rsidP="002F40E5">
      <w:pPr>
        <w:spacing w:line="340" w:lineRule="exact"/>
        <w:rPr>
          <w:rFonts w:ascii="ＭＳ ゴシック" w:eastAsia="ＭＳ ゴシック" w:hAnsi="ＭＳ ゴシック"/>
          <w:sz w:val="28"/>
          <w:szCs w:val="28"/>
        </w:rPr>
      </w:pPr>
      <w:r w:rsidRPr="00FC58A0">
        <w:rPr>
          <w:rFonts w:ascii="ＭＳ ゴシック" w:eastAsia="ＭＳ ゴシック" w:hAnsi="ＭＳ ゴシック" w:hint="eastAsia"/>
          <w:sz w:val="28"/>
          <w:szCs w:val="28"/>
        </w:rPr>
        <w:t>Ⅴ．宇宙のリズムと共に生き、死ぬ</w:t>
      </w:r>
    </w:p>
    <w:p w14:paraId="272C0C6D" w14:textId="77777777" w:rsidR="002F40E5" w:rsidRDefault="002F40E5" w:rsidP="002F40E5">
      <w:pPr>
        <w:spacing w:line="340" w:lineRule="exact"/>
      </w:pPr>
      <w:r>
        <w:rPr>
          <w:rFonts w:hint="eastAsia"/>
        </w:rPr>
        <w:t xml:space="preserve">　養生（ようせい、ようじょう）の問題は、いろんな技法を羅列する必要もなく、ひと言で言い尽くすことが出来る。「宇宙のリズムと共に生き、死ぬ」。それぞれの場で、この言葉の意味を考え抜けば、自分に必要な技術や技法は自ずから出てくる。技術から入れば、方法は無数にありすぎて混乱するばかりである。現代では健康法を渡り歩く健康法フリークは無数にいる。この地球で他者と共に生きる、その生き方の核心に結びつかない健康法、養生法の思いつき的な追及は、時間とお金の浪費にすぎず、地球を汚すだけである。</w:t>
      </w:r>
    </w:p>
    <w:p w14:paraId="5FE56FA3" w14:textId="77777777" w:rsidR="002F40E5" w:rsidRDefault="002F40E5" w:rsidP="002F40E5">
      <w:pPr>
        <w:spacing w:line="340" w:lineRule="exact"/>
      </w:pPr>
      <w:r>
        <w:rPr>
          <w:rFonts w:hint="eastAsia"/>
        </w:rPr>
        <w:t xml:space="preserve">　わたしたちは、宇宙との断絶を、どう回復できるだろうか。人間は、無機的な元素と化学物質の結合から偶然、生み出されたのであり、宇宙は意識をもたず、我々には無関心である。人間は、この無限の宇宙の闇をあてどなく漂う無目的な根無し草である。古代の天人合一的な宇宙との繋がりを断たれた科学技術時代の現代人は、このようなニヒリズムの代償行為として、さまざまな欲望の充足にのめり込み、自分と他の生命、地球環境を破壊する自傷行為を繰り返してきた。ひとは、いつ宇宙とただ在ることの充足感に目覚めるのだろうか。　</w:t>
      </w:r>
    </w:p>
    <w:p w14:paraId="7FF8A956" w14:textId="77777777" w:rsidR="002F40E5" w:rsidRDefault="002F40E5" w:rsidP="002F40E5">
      <w:pPr>
        <w:spacing w:line="340" w:lineRule="exact"/>
      </w:pPr>
      <w:r>
        <w:rPr>
          <w:rFonts w:hint="eastAsia"/>
        </w:rPr>
        <w:t>鍼灸師は、そのような人類の覚醒のために、何ができるのだろうか。</w:t>
      </w:r>
    </w:p>
    <w:p w14:paraId="01854261" w14:textId="77777777" w:rsidR="002F40E5" w:rsidRDefault="002F40E5" w:rsidP="002F40E5">
      <w:pPr>
        <w:spacing w:line="340" w:lineRule="exact"/>
        <w:rPr>
          <w:rFonts w:hint="eastAsia"/>
        </w:rPr>
      </w:pPr>
      <w:r>
        <w:rPr>
          <w:rFonts w:hint="eastAsia"/>
        </w:rPr>
        <w:t xml:space="preserve">　</w:t>
      </w:r>
      <w:r w:rsidRPr="000C7851">
        <w:rPr>
          <w:rFonts w:hint="eastAsia"/>
        </w:rPr>
        <w:t>『黄帝内経』が</w:t>
      </w:r>
      <w:r>
        <w:rPr>
          <w:rFonts w:hint="eastAsia"/>
        </w:rPr>
        <w:t>語りかける</w:t>
      </w:r>
      <w:r w:rsidRPr="000C7851">
        <w:rPr>
          <w:rFonts w:hint="eastAsia"/>
        </w:rPr>
        <w:t>伝統医療の精神とは、宇宙のリズムに合わせて生きよう、ということであった</w:t>
      </w:r>
      <w:r>
        <w:rPr>
          <w:rFonts w:hint="eastAsia"/>
        </w:rPr>
        <w:t>。「ひとは宇宙の子である」。それを忘れたことが、人類のさまざまな問題を引き越しているのである。</w:t>
      </w:r>
    </w:p>
    <w:p w14:paraId="705039B5" w14:textId="77777777" w:rsidR="002F40E5" w:rsidRDefault="002F40E5" w:rsidP="002F40E5">
      <w:pPr>
        <w:spacing w:line="340" w:lineRule="exact"/>
        <w:rPr>
          <w:rFonts w:hint="eastAsia"/>
        </w:rPr>
      </w:pPr>
    </w:p>
    <w:p w14:paraId="50C2D6FB" w14:textId="77777777" w:rsidR="002F40E5" w:rsidRPr="00FA3E78" w:rsidRDefault="002F40E5" w:rsidP="002F40E5">
      <w:pPr>
        <w:spacing w:line="340" w:lineRule="exact"/>
        <w:rPr>
          <w:rFonts w:ascii="ＭＳ ゴシック" w:eastAsia="ＭＳ ゴシック" w:hAnsi="ＭＳ ゴシック"/>
          <w:sz w:val="22"/>
          <w:szCs w:val="22"/>
        </w:rPr>
      </w:pPr>
      <w:r w:rsidRPr="00FA3E78">
        <w:rPr>
          <w:rFonts w:ascii="ＭＳ ゴシック" w:eastAsia="ＭＳ ゴシック" w:hAnsi="ＭＳ ゴシック" w:hint="eastAsia"/>
          <w:sz w:val="22"/>
          <w:szCs w:val="22"/>
        </w:rPr>
        <w:t>【参照文献】</w:t>
      </w:r>
    </w:p>
    <w:p w14:paraId="5DBE34B9" w14:textId="77777777" w:rsidR="002F40E5" w:rsidRPr="00FA3E78" w:rsidRDefault="002F40E5" w:rsidP="002F40E5">
      <w:pPr>
        <w:spacing w:line="300" w:lineRule="exact"/>
        <w:rPr>
          <w:rFonts w:ascii="ＭＳ 明朝" w:hAnsi="ＭＳ 明朝" w:cs="MS-Mincho"/>
          <w:kern w:val="0"/>
          <w:sz w:val="22"/>
          <w:szCs w:val="22"/>
        </w:rPr>
      </w:pPr>
      <w:r w:rsidRPr="00FA3E78">
        <w:rPr>
          <w:rFonts w:ascii="ＭＳ 明朝" w:hAnsi="ＭＳ 明朝" w:hint="eastAsia"/>
          <w:sz w:val="22"/>
          <w:szCs w:val="22"/>
        </w:rPr>
        <w:t>・</w:t>
      </w:r>
      <w:r w:rsidRPr="00F02CB0">
        <w:rPr>
          <w:rFonts w:asciiTheme="majorEastAsia" w:eastAsiaTheme="majorEastAsia" w:hAnsiTheme="majorEastAsia" w:cs="MS-Mincho"/>
          <w:kern w:val="0"/>
          <w:sz w:val="22"/>
          <w:szCs w:val="22"/>
        </w:rPr>
        <w:t>石田秀実監訳『現代語訳・黄帝内経素問（全３巻）』『現代語訳・黄帝内経霊枢（全２巻）』（</w:t>
      </w:r>
      <w:r w:rsidRPr="00F02CB0">
        <w:rPr>
          <w:rFonts w:asciiTheme="majorEastAsia" w:eastAsiaTheme="majorEastAsia" w:hAnsiTheme="majorEastAsia" w:cs="MS-Mincho" w:hint="eastAsia"/>
          <w:kern w:val="0"/>
          <w:sz w:val="22"/>
          <w:szCs w:val="22"/>
        </w:rPr>
        <w:t>それぞれ</w:t>
      </w:r>
      <w:r w:rsidRPr="00F02CB0">
        <w:rPr>
          <w:rFonts w:asciiTheme="majorEastAsia" w:eastAsiaTheme="majorEastAsia" w:hAnsiTheme="majorEastAsia" w:cs="MS-Mincho"/>
          <w:kern w:val="0"/>
          <w:sz w:val="22"/>
          <w:szCs w:val="22"/>
        </w:rPr>
        <w:t>東洋学術出版社）</w:t>
      </w:r>
    </w:p>
    <w:p w14:paraId="64F9795E" w14:textId="77777777" w:rsidR="002F40E5" w:rsidRPr="00FA3E78" w:rsidRDefault="002F40E5" w:rsidP="002F40E5">
      <w:pPr>
        <w:spacing w:line="300" w:lineRule="exact"/>
        <w:rPr>
          <w:rFonts w:ascii="ＭＳ 明朝" w:hAnsi="ＭＳ 明朝" w:cs="MS-Mincho"/>
          <w:kern w:val="0"/>
          <w:sz w:val="22"/>
          <w:szCs w:val="22"/>
        </w:rPr>
      </w:pPr>
      <w:r w:rsidRPr="00FA3E78">
        <w:rPr>
          <w:rFonts w:ascii="ＭＳ 明朝" w:hAnsi="ＭＳ 明朝" w:cs="MS-Mincho" w:hint="eastAsia"/>
          <w:kern w:val="0"/>
          <w:sz w:val="22"/>
          <w:szCs w:val="22"/>
        </w:rPr>
        <w:t>・ヒルデガルトについては、翻訳書、音楽CDが存在する。本講演では、二つの論文を参照した。インタ−ネットから入手できる。</w:t>
      </w:r>
    </w:p>
    <w:p w14:paraId="51B1F505" w14:textId="77777777" w:rsidR="002F40E5" w:rsidRPr="00F02CB0" w:rsidRDefault="002F40E5" w:rsidP="002F40E5">
      <w:pPr>
        <w:widowControl/>
        <w:autoSpaceDE w:val="0"/>
        <w:autoSpaceDN w:val="0"/>
        <w:adjustRightInd w:val="0"/>
        <w:spacing w:line="300" w:lineRule="exact"/>
        <w:jc w:val="left"/>
        <w:rPr>
          <w:rFonts w:asciiTheme="majorEastAsia" w:eastAsiaTheme="majorEastAsia" w:hAnsiTheme="majorEastAsia" w:cs="MS-Mincho"/>
          <w:kern w:val="0"/>
          <w:sz w:val="22"/>
          <w:szCs w:val="22"/>
        </w:rPr>
      </w:pPr>
      <w:r>
        <w:rPr>
          <w:rFonts w:ascii="ＭＳ 明朝" w:hAnsi="ＭＳ 明朝" w:cs="MS-Mincho" w:hint="eastAsia"/>
          <w:kern w:val="0"/>
          <w:sz w:val="22"/>
          <w:szCs w:val="22"/>
        </w:rPr>
        <w:t xml:space="preserve">　</w:t>
      </w:r>
      <w:r w:rsidRPr="00F02CB0">
        <w:rPr>
          <w:rFonts w:asciiTheme="majorEastAsia" w:eastAsiaTheme="majorEastAsia" w:hAnsiTheme="majorEastAsia" w:cs="MS-Mincho"/>
          <w:kern w:val="0"/>
          <w:sz w:val="22"/>
          <w:szCs w:val="22"/>
        </w:rPr>
        <w:t>久木田直江</w:t>
      </w:r>
      <w:r w:rsidRPr="00F02CB0">
        <w:rPr>
          <w:rFonts w:asciiTheme="majorEastAsia" w:eastAsiaTheme="majorEastAsia" w:hAnsiTheme="majorEastAsia" w:cs="MS-Mincho" w:hint="eastAsia"/>
          <w:kern w:val="0"/>
          <w:sz w:val="22"/>
          <w:szCs w:val="22"/>
        </w:rPr>
        <w:t>「</w:t>
      </w:r>
      <w:r w:rsidRPr="00F02CB0">
        <w:rPr>
          <w:rFonts w:asciiTheme="majorEastAsia" w:eastAsiaTheme="majorEastAsia" w:hAnsiTheme="majorEastAsia" w:cs="MS-Mincho"/>
          <w:kern w:val="0"/>
          <w:sz w:val="22"/>
          <w:szCs w:val="22"/>
        </w:rPr>
        <w:t>天上の薬と世俗の薬</w:t>
      </w:r>
      <w:r w:rsidRPr="00F02CB0">
        <w:rPr>
          <w:rFonts w:asciiTheme="majorEastAsia" w:eastAsiaTheme="majorEastAsia" w:hAnsiTheme="majorEastAsia" w:cs="MS-Mincho" w:hint="eastAsia"/>
          <w:kern w:val="0"/>
          <w:sz w:val="22"/>
          <w:szCs w:val="22"/>
        </w:rPr>
        <w:t>−</w:t>
      </w:r>
      <w:r w:rsidRPr="00F02CB0">
        <w:rPr>
          <w:rFonts w:asciiTheme="majorEastAsia" w:eastAsiaTheme="majorEastAsia" w:hAnsiTheme="majorEastAsia" w:cs="MS-Mincho"/>
          <w:kern w:val="0"/>
          <w:sz w:val="22"/>
          <w:szCs w:val="22"/>
        </w:rPr>
        <w:t>中世ヨーロッパの医療</w:t>
      </w:r>
      <w:r w:rsidRPr="00F02CB0">
        <w:rPr>
          <w:rFonts w:asciiTheme="majorEastAsia" w:eastAsiaTheme="majorEastAsia" w:hAnsiTheme="majorEastAsia" w:cs="MS-Mincho" w:hint="eastAsia"/>
          <w:kern w:val="0"/>
          <w:sz w:val="22"/>
          <w:szCs w:val="22"/>
        </w:rPr>
        <w:t>」(</w:t>
      </w:r>
      <w:r w:rsidRPr="00F02CB0">
        <w:rPr>
          <w:rFonts w:asciiTheme="majorEastAsia" w:eastAsiaTheme="majorEastAsia" w:hAnsiTheme="majorEastAsia" w:cs="Arial"/>
          <w:kern w:val="0"/>
          <w:sz w:val="22"/>
          <w:szCs w:val="22"/>
        </w:rPr>
        <w:t>静岡大学人文学部研究叢書</w:t>
      </w:r>
      <w:r w:rsidRPr="00F02CB0">
        <w:rPr>
          <w:rFonts w:asciiTheme="majorEastAsia" w:eastAsiaTheme="majorEastAsia" w:hAnsiTheme="majorEastAsia" w:cs="MS-Mincho" w:hint="eastAsia"/>
          <w:kern w:val="0"/>
          <w:sz w:val="22"/>
          <w:szCs w:val="22"/>
        </w:rPr>
        <w:t>『くすりの小箱−</w:t>
      </w:r>
      <w:r w:rsidRPr="00F02CB0">
        <w:rPr>
          <w:rFonts w:asciiTheme="majorEastAsia" w:eastAsiaTheme="majorEastAsia" w:hAnsiTheme="majorEastAsia" w:cs="Arial"/>
          <w:kern w:val="0"/>
          <w:sz w:val="22"/>
          <w:szCs w:val="22"/>
        </w:rPr>
        <w:t>薬と医療の文化史</w:t>
      </w:r>
      <w:r w:rsidRPr="00F02CB0">
        <w:rPr>
          <w:rFonts w:asciiTheme="majorEastAsia" w:eastAsiaTheme="majorEastAsia" w:hAnsiTheme="majorEastAsia" w:cs="MS-Mincho" w:hint="eastAsia"/>
          <w:kern w:val="0"/>
          <w:sz w:val="22"/>
          <w:szCs w:val="22"/>
        </w:rPr>
        <w:t>』南山堂、2011年刊所収)</w:t>
      </w:r>
    </w:p>
    <w:p w14:paraId="3311B3E8" w14:textId="77777777" w:rsidR="002F40E5" w:rsidRPr="00F02CB0" w:rsidRDefault="002F40E5" w:rsidP="002F40E5">
      <w:pPr>
        <w:widowControl/>
        <w:autoSpaceDE w:val="0"/>
        <w:autoSpaceDN w:val="0"/>
        <w:adjustRightInd w:val="0"/>
        <w:spacing w:line="300" w:lineRule="exact"/>
        <w:jc w:val="left"/>
        <w:rPr>
          <w:rFonts w:asciiTheme="majorEastAsia" w:eastAsiaTheme="majorEastAsia" w:hAnsiTheme="majorEastAsia" w:cs="MS-Mincho"/>
          <w:kern w:val="0"/>
          <w:sz w:val="22"/>
          <w:szCs w:val="22"/>
        </w:rPr>
      </w:pPr>
      <w:r w:rsidRPr="00F02CB0">
        <w:rPr>
          <w:rFonts w:asciiTheme="majorEastAsia" w:eastAsiaTheme="majorEastAsia" w:hAnsiTheme="majorEastAsia" w:cs="MS-Mincho" w:hint="eastAsia"/>
          <w:kern w:val="0"/>
          <w:sz w:val="22"/>
          <w:szCs w:val="22"/>
        </w:rPr>
        <w:t xml:space="preserve">　牛之濱久代ほか「ヒルデガルト・フォン・ビンゲンの医療活動について−ヒルデガルトのホリスティックアプローチの今日的意義」</w:t>
      </w:r>
      <w:r w:rsidRPr="00F02CB0">
        <w:rPr>
          <w:rFonts w:asciiTheme="majorEastAsia" w:eastAsiaTheme="majorEastAsia" w:hAnsiTheme="majorEastAsia" w:cs="MS-Mincho"/>
          <w:kern w:val="0"/>
          <w:sz w:val="22"/>
          <w:szCs w:val="22"/>
        </w:rPr>
        <w:t>(</w:t>
      </w:r>
      <w:r w:rsidRPr="00F02CB0">
        <w:rPr>
          <w:rFonts w:asciiTheme="majorEastAsia" w:eastAsiaTheme="majorEastAsia" w:hAnsiTheme="majorEastAsia" w:cs="MS-Mincho" w:hint="eastAsia"/>
          <w:kern w:val="0"/>
          <w:sz w:val="22"/>
          <w:szCs w:val="22"/>
        </w:rPr>
        <w:t>山口県立大学看護学部紀要、2003年7号)</w:t>
      </w:r>
    </w:p>
    <w:p w14:paraId="492FA51F" w14:textId="77777777" w:rsidR="002F40E5" w:rsidRDefault="002F40E5" w:rsidP="002F40E5">
      <w:pPr>
        <w:widowControl/>
        <w:autoSpaceDE w:val="0"/>
        <w:autoSpaceDN w:val="0"/>
        <w:adjustRightInd w:val="0"/>
        <w:spacing w:line="300" w:lineRule="exact"/>
        <w:jc w:val="left"/>
      </w:pPr>
      <w:r w:rsidRPr="00FA3E78">
        <w:rPr>
          <w:rFonts w:ascii="ＭＳ 明朝" w:hAnsi="ＭＳ 明朝" w:cs="MS-Mincho" w:hint="eastAsia"/>
          <w:kern w:val="0"/>
          <w:sz w:val="22"/>
          <w:szCs w:val="22"/>
        </w:rPr>
        <w:t>・中国の『黄帝内経』養生書表紙写真、ヒルデガルト</w:t>
      </w:r>
      <w:r>
        <w:rPr>
          <w:rFonts w:ascii="ＭＳ 明朝" w:hAnsi="ＭＳ 明朝" w:cs="MS-Mincho" w:hint="eastAsia"/>
          <w:kern w:val="0"/>
          <w:sz w:val="22"/>
          <w:szCs w:val="22"/>
        </w:rPr>
        <w:t>肖像</w:t>
      </w:r>
      <w:r w:rsidRPr="00FA3E78">
        <w:rPr>
          <w:rFonts w:ascii="ＭＳ 明朝" w:hAnsi="ＭＳ 明朝" w:cs="MS-Mincho" w:hint="eastAsia"/>
          <w:kern w:val="0"/>
          <w:sz w:val="22"/>
          <w:szCs w:val="22"/>
        </w:rPr>
        <w:t>および占星術瀉血医学図版は、インターネットからダウンロードした。</w:t>
      </w:r>
    </w:p>
    <w:p w14:paraId="43DE67EF" w14:textId="77777777" w:rsidR="002F40E5" w:rsidRDefault="002F40E5" w:rsidP="002F40E5">
      <w:pPr>
        <w:spacing w:line="340" w:lineRule="exact"/>
      </w:pPr>
      <w:r>
        <w:rPr>
          <w:noProof/>
        </w:rPr>
        <w:drawing>
          <wp:anchor distT="0" distB="0" distL="114300" distR="114300" simplePos="0" relativeHeight="251660288" behindDoc="0" locked="0" layoutInCell="1" allowOverlap="1" wp14:anchorId="561BC9CC" wp14:editId="031974ED">
            <wp:simplePos x="0" y="0"/>
            <wp:positionH relativeFrom="column">
              <wp:posOffset>2743200</wp:posOffset>
            </wp:positionH>
            <wp:positionV relativeFrom="paragraph">
              <wp:posOffset>254000</wp:posOffset>
            </wp:positionV>
            <wp:extent cx="2741295" cy="3556000"/>
            <wp:effectExtent l="0" t="0" r="1905" b="0"/>
            <wp:wrapSquare wrapText="bothSides"/>
            <wp:docPr id="14" name="図 14" descr="3783370924_369a0ff44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783370924_369a0ff447_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295"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A7537C" wp14:editId="683A760B">
            <wp:simplePos x="0" y="0"/>
            <wp:positionH relativeFrom="column">
              <wp:posOffset>0</wp:posOffset>
            </wp:positionH>
            <wp:positionV relativeFrom="paragraph">
              <wp:posOffset>215900</wp:posOffset>
            </wp:positionV>
            <wp:extent cx="2731770" cy="3556000"/>
            <wp:effectExtent l="0" t="0" r="11430" b="0"/>
            <wp:wrapSquare wrapText="bothSides"/>
            <wp:docPr id="13" name="図 13" descr="スクリーンショット（2013-01-2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スクリーンショット（2013-01-22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770"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【ヨーロッパ中世の占星術瀉血図】</w:t>
      </w:r>
    </w:p>
    <w:p w14:paraId="46461537" w14:textId="77777777" w:rsidR="002F40E5" w:rsidRDefault="002F40E5" w:rsidP="002F40E5">
      <w:pPr>
        <w:spacing w:line="340" w:lineRule="exact"/>
        <w:rPr>
          <w:rFonts w:ascii="ＭＳ ゴシック" w:eastAsia="ＭＳ ゴシック" w:hAnsi="ＭＳ ゴシック"/>
          <w:sz w:val="22"/>
          <w:szCs w:val="22"/>
        </w:rPr>
      </w:pPr>
    </w:p>
    <w:p w14:paraId="09A8AD36" w14:textId="77777777" w:rsidR="002F40E5" w:rsidRDefault="002F40E5" w:rsidP="002F40E5">
      <w:pPr>
        <w:widowControl/>
        <w:autoSpaceDE w:val="0"/>
        <w:autoSpaceDN w:val="0"/>
        <w:adjustRightInd w:val="0"/>
        <w:spacing w:line="300" w:lineRule="exact"/>
        <w:jc w:val="left"/>
        <w:rPr>
          <w:rFonts w:ascii="ＭＳ 明朝" w:hAnsi="ＭＳ 明朝" w:cs="MS-Mincho" w:hint="eastAsia"/>
          <w:kern w:val="0"/>
          <w:sz w:val="22"/>
          <w:szCs w:val="22"/>
        </w:rPr>
      </w:pPr>
      <w:r>
        <w:t>2013</w:t>
      </w:r>
      <w:r>
        <w:rPr>
          <w:rFonts w:hint="eastAsia"/>
        </w:rPr>
        <w:t>年</w:t>
      </w:r>
      <w:r>
        <w:t>1</w:t>
      </w:r>
      <w:r>
        <w:rPr>
          <w:rFonts w:hint="eastAsia"/>
        </w:rPr>
        <w:t>2</w:t>
      </w:r>
      <w:r>
        <w:rPr>
          <w:rFonts w:hint="eastAsia"/>
        </w:rPr>
        <w:t>月</w:t>
      </w:r>
      <w:r>
        <w:t>15</w:t>
      </w:r>
      <w:r>
        <w:rPr>
          <w:rFonts w:hint="eastAsia"/>
        </w:rPr>
        <w:t>日（日）</w:t>
      </w:r>
      <w:r w:rsidR="00AA29A4">
        <w:rPr>
          <w:rFonts w:hint="eastAsia"/>
        </w:rPr>
        <w:t>中央医療学園専門学校</w:t>
      </w:r>
    </w:p>
    <w:p w14:paraId="27099602" w14:textId="77777777" w:rsidR="002F40E5" w:rsidRPr="00FC58A0" w:rsidRDefault="002F40E5" w:rsidP="002F40E5">
      <w:pPr>
        <w:spacing w:line="340" w:lineRule="exact"/>
        <w:rPr>
          <w:rFonts w:ascii="ＭＳ ゴシック" w:eastAsia="ＭＳ ゴシック" w:hAnsi="ＭＳ ゴシック"/>
        </w:rPr>
      </w:pPr>
      <w:r>
        <w:rPr>
          <w:rFonts w:ascii="ＭＳ ゴシック" w:eastAsia="ＭＳ ゴシック" w:hAnsi="ＭＳ ゴシック" w:hint="eastAsia"/>
        </w:rPr>
        <w:t>第5回伝統医学会</w:t>
      </w:r>
      <w:r w:rsidRPr="00FC58A0">
        <w:rPr>
          <w:rFonts w:ascii="ＭＳ ゴシック" w:eastAsia="ＭＳ ゴシック" w:hAnsi="ＭＳ ゴシック" w:hint="eastAsia"/>
        </w:rPr>
        <w:t>講演レジメ</w:t>
      </w:r>
    </w:p>
    <w:p w14:paraId="35CC96B4" w14:textId="77777777" w:rsidR="002F40E5" w:rsidRPr="00AA29A4" w:rsidRDefault="002F40E5" w:rsidP="002F40E5">
      <w:pPr>
        <w:spacing w:line="340" w:lineRule="exact"/>
        <w:rPr>
          <w:i/>
        </w:rPr>
      </w:pPr>
      <w:r w:rsidRPr="00AA29A4">
        <w:rPr>
          <w:rFonts w:hint="eastAsia"/>
          <w:i/>
        </w:rPr>
        <w:t>伝統医療の精神とは何か</w:t>
      </w:r>
    </w:p>
    <w:p w14:paraId="04BE5847" w14:textId="77777777" w:rsidR="00AA29A4" w:rsidRDefault="002F40E5" w:rsidP="002F40E5">
      <w:pPr>
        <w:spacing w:line="340" w:lineRule="exact"/>
        <w:rPr>
          <w:rFonts w:ascii="ＭＳ ゴシック" w:eastAsia="ＭＳ ゴシック" w:hAnsi="ＭＳ ゴシック" w:hint="eastAsia"/>
        </w:rPr>
      </w:pPr>
      <w:r>
        <w:rPr>
          <w:rFonts w:ascii="ＭＳ ゴシック" w:eastAsia="ＭＳ ゴシック" w:hAnsi="ＭＳ ゴシック" w:hint="eastAsia"/>
        </w:rPr>
        <w:t>『黄帝内経』に学ぶ</w:t>
      </w:r>
      <w:r>
        <w:rPr>
          <w:rFonts w:ascii="ＭＳ ゴシック" w:eastAsia="ＭＳ ゴシック" w:hAnsi="ＭＳ ゴシック"/>
        </w:rPr>
        <w:t xml:space="preserve"> </w:t>
      </w:r>
      <w:r w:rsidR="00AA29A4">
        <w:rPr>
          <w:rFonts w:ascii="ＭＳ ゴシック" w:eastAsia="ＭＳ ゴシック" w:hAnsi="ＭＳ ゴシック" w:hint="eastAsia"/>
        </w:rPr>
        <w:t>宇宙のリズムで生きる生き方！</w:t>
      </w:r>
    </w:p>
    <w:p w14:paraId="154D49F4" w14:textId="77777777" w:rsidR="00AA29A4" w:rsidRPr="00AA29A4" w:rsidRDefault="00AA29A4" w:rsidP="002F40E5">
      <w:pPr>
        <w:spacing w:line="340" w:lineRule="exact"/>
        <w:rPr>
          <w:rFonts w:ascii="ＭＳ ゴシック" w:eastAsia="ＭＳ ゴシック" w:hAnsi="ＭＳ ゴシック" w:hint="eastAsia"/>
        </w:rPr>
      </w:pPr>
      <w:r>
        <w:rPr>
          <w:rFonts w:ascii="ＭＳ ゴシック" w:eastAsia="ＭＳ ゴシック" w:hAnsi="ＭＳ ゴシック" w:hint="eastAsia"/>
        </w:rPr>
        <w:t>の一部を抜粋</w:t>
      </w:r>
    </w:p>
    <w:p w14:paraId="511AC4EB" w14:textId="77777777" w:rsidR="00AA29A4" w:rsidRDefault="002F40E5" w:rsidP="002F40E5">
      <w:pPr>
        <w:spacing w:line="340" w:lineRule="exact"/>
        <w:rPr>
          <w:rFonts w:hint="eastAsia"/>
        </w:rPr>
      </w:pPr>
      <w:r>
        <w:rPr>
          <w:rFonts w:hint="eastAsia"/>
        </w:rPr>
        <w:t xml:space="preserve">　　　　　　　　　　　　　　　　　　　　　　</w:t>
      </w:r>
    </w:p>
    <w:p w14:paraId="0B015CD1" w14:textId="77777777" w:rsidR="002F40E5" w:rsidRDefault="002F40E5" w:rsidP="002F40E5">
      <w:pPr>
        <w:spacing w:line="340" w:lineRule="exact"/>
      </w:pPr>
      <w:r>
        <w:rPr>
          <w:rFonts w:hint="eastAsia"/>
        </w:rPr>
        <w:t xml:space="preserve">　　　　　　　　　　　　　　　　　　　　　　　</w:t>
      </w:r>
    </w:p>
    <w:p w14:paraId="4E52718D" w14:textId="77777777" w:rsidR="002F40E5" w:rsidRPr="00FA3E78" w:rsidRDefault="002F40E5" w:rsidP="002F40E5">
      <w:pPr>
        <w:widowControl/>
        <w:autoSpaceDE w:val="0"/>
        <w:autoSpaceDN w:val="0"/>
        <w:adjustRightInd w:val="0"/>
        <w:spacing w:line="300" w:lineRule="exact"/>
        <w:jc w:val="left"/>
        <w:rPr>
          <w:rFonts w:ascii="ＭＳ 明朝" w:hAnsi="ＭＳ 明朝" w:cs="MS-Mincho"/>
          <w:kern w:val="0"/>
          <w:sz w:val="22"/>
          <w:szCs w:val="22"/>
        </w:rPr>
      </w:pPr>
      <w:r>
        <w:rPr>
          <w:rFonts w:hint="eastAsia"/>
        </w:rPr>
        <w:t xml:space="preserve">　　　　　　　　　　　　　　　　　　　　　　</w:t>
      </w:r>
    </w:p>
    <w:p w14:paraId="4BDB0DD5" w14:textId="77777777" w:rsidR="0085526B" w:rsidRDefault="0085526B"/>
    <w:sectPr w:rsidR="0085526B" w:rsidSect="00403F1A">
      <w:footerReference w:type="even" r:id="rId10"/>
      <w:footerReference w:type="default" r:id="rId11"/>
      <w:pgSz w:w="11900" w:h="16840"/>
      <w:pgMar w:top="1985" w:right="1701" w:bottom="1701" w:left="1701" w:header="851" w:footer="992" w:gutter="0"/>
      <w:pgNumType w:start="1"/>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Mincho">
    <w:altName w:val="ＭＳ 明朝"/>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651A" w14:textId="77777777" w:rsidR="002F40E5" w:rsidRDefault="002F40E5" w:rsidP="002F40E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06651DE" w14:textId="77777777" w:rsidR="002F40E5" w:rsidRDefault="002F40E5">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3AB95" w14:textId="77777777" w:rsidR="002F40E5" w:rsidRDefault="002F40E5" w:rsidP="002F40E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03F1A">
      <w:rPr>
        <w:rStyle w:val="a5"/>
        <w:noProof/>
      </w:rPr>
      <w:t>1</w:t>
    </w:r>
    <w:r>
      <w:rPr>
        <w:rStyle w:val="a5"/>
      </w:rPr>
      <w:fldChar w:fldCharType="end"/>
    </w:r>
  </w:p>
  <w:p w14:paraId="3D0A42B4" w14:textId="77777777" w:rsidR="002F40E5" w:rsidRDefault="002F40E5">
    <w:pPr>
      <w:pStyle w:val="a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0E5"/>
    <w:rsid w:val="00162A9B"/>
    <w:rsid w:val="002F40E5"/>
    <w:rsid w:val="00403F1A"/>
    <w:rsid w:val="0085526B"/>
    <w:rsid w:val="00AA29A4"/>
    <w:rsid w:val="00ED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A1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0E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F40E5"/>
    <w:pPr>
      <w:tabs>
        <w:tab w:val="center" w:pos="4252"/>
        <w:tab w:val="right" w:pos="8504"/>
      </w:tabs>
      <w:snapToGrid w:val="0"/>
    </w:pPr>
  </w:style>
  <w:style w:type="character" w:customStyle="1" w:styleId="a4">
    <w:name w:val="フッター (文字)"/>
    <w:basedOn w:val="a0"/>
    <w:link w:val="a3"/>
    <w:uiPriority w:val="99"/>
    <w:rsid w:val="002F40E5"/>
    <w:rPr>
      <w:rFonts w:ascii="Century" w:eastAsia="ＭＳ 明朝" w:hAnsi="Century" w:cs="Times New Roman"/>
    </w:rPr>
  </w:style>
  <w:style w:type="character" w:styleId="a5">
    <w:name w:val="page number"/>
    <w:uiPriority w:val="99"/>
    <w:semiHidden/>
    <w:unhideWhenUsed/>
    <w:rsid w:val="002F40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0E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F40E5"/>
    <w:pPr>
      <w:tabs>
        <w:tab w:val="center" w:pos="4252"/>
        <w:tab w:val="right" w:pos="8504"/>
      </w:tabs>
      <w:snapToGrid w:val="0"/>
    </w:pPr>
  </w:style>
  <w:style w:type="character" w:customStyle="1" w:styleId="a4">
    <w:name w:val="フッター (文字)"/>
    <w:basedOn w:val="a0"/>
    <w:link w:val="a3"/>
    <w:uiPriority w:val="99"/>
    <w:rsid w:val="002F40E5"/>
    <w:rPr>
      <w:rFonts w:ascii="Century" w:eastAsia="ＭＳ 明朝" w:hAnsi="Century" w:cs="Times New Roman"/>
    </w:rPr>
  </w:style>
  <w:style w:type="character" w:styleId="a5">
    <w:name w:val="page number"/>
    <w:uiPriority w:val="99"/>
    <w:semiHidden/>
    <w:unhideWhenUsed/>
    <w:rsid w:val="002F4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487</Words>
  <Characters>2782</Characters>
  <Application>Microsoft Macintosh Word</Application>
  <DocSecurity>0</DocSecurity>
  <Lines>23</Lines>
  <Paragraphs>6</Paragraphs>
  <ScaleCrop>false</ScaleCrop>
  <Company/>
  <LinksUpToDate>false</LinksUpToDate>
  <CharactersWithSpaces>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松田 博公</dc:creator>
  <cp:keywords/>
  <dc:description/>
  <cp:lastModifiedBy>松田 博公</cp:lastModifiedBy>
  <cp:revision>3</cp:revision>
  <dcterms:created xsi:type="dcterms:W3CDTF">2014-01-30T00:43:00Z</dcterms:created>
  <dcterms:modified xsi:type="dcterms:W3CDTF">2014-01-30T01:00:00Z</dcterms:modified>
</cp:coreProperties>
</file>